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C23B" w14:textId="060186C1" w:rsidR="00CB647A" w:rsidRPr="00107D70" w:rsidRDefault="00CB647A" w:rsidP="00CB647A">
      <w:pPr>
        <w:rPr>
          <w:rFonts w:asciiTheme="majorHAnsi" w:hAnsiTheme="majorHAnsi"/>
          <w:b/>
          <w:color w:val="34ABC1"/>
          <w:sz w:val="52"/>
        </w:rPr>
      </w:pPr>
      <w:r w:rsidRPr="00107D70">
        <w:rPr>
          <w:rFonts w:asciiTheme="majorHAnsi" w:hAnsiTheme="majorHAnsi"/>
          <w:b/>
          <w:noProof/>
          <w:color w:val="34ABC1"/>
          <w:sz w:val="5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F2A70" wp14:editId="5A0BFDB3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05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E14CB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5.25pt" to="47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" strokecolor="#1b587c [3206]" strokeweight="1pt">
                <v:stroke joinstyle="miter"/>
              </v:line>
            </w:pict>
          </mc:Fallback>
        </mc:AlternateContent>
      </w:r>
      <w:r w:rsidR="00FF501D">
        <w:rPr>
          <w:rFonts w:asciiTheme="majorHAnsi" w:hAnsiTheme="majorHAnsi"/>
          <w:b/>
          <w:noProof/>
          <w:color w:val="34ABC1"/>
          <w:sz w:val="52"/>
          <w:lang w:val="en-AU" w:eastAsia="en-AU"/>
        </w:rPr>
        <w:t>Open Door</w:t>
      </w:r>
      <w:r w:rsidR="00107D70" w:rsidRPr="00107D70">
        <w:rPr>
          <w:rFonts w:asciiTheme="majorHAnsi" w:hAnsiTheme="majorHAnsi"/>
          <w:b/>
          <w:color w:val="34ABC1"/>
          <w:sz w:val="52"/>
        </w:rPr>
        <w:t xml:space="preserve"> </w:t>
      </w:r>
      <w:r w:rsidRPr="00107D70">
        <w:rPr>
          <w:rFonts w:asciiTheme="majorHAnsi" w:hAnsiTheme="majorHAnsi"/>
          <w:b/>
          <w:color w:val="34ABC1"/>
          <w:sz w:val="52"/>
        </w:rPr>
        <w:t xml:space="preserve">Policy </w:t>
      </w:r>
    </w:p>
    <w:p w14:paraId="5CD5B273" w14:textId="646CCEFD" w:rsidR="00876436" w:rsidRPr="00C60151" w:rsidRDefault="007E2990">
      <w:pPr>
        <w:rPr>
          <w:rFonts w:asciiTheme="majorHAnsi" w:hAnsiTheme="majorHAnsi" w:cs="Arial"/>
          <w:szCs w:val="18"/>
          <w:lang w:eastAsia="en-AU"/>
        </w:rPr>
      </w:pPr>
      <w:r w:rsidRPr="00C60151">
        <w:rPr>
          <w:rFonts w:asciiTheme="majorHAnsi" w:hAnsiTheme="majorHAnsi" w:cs="Arial"/>
          <w:szCs w:val="18"/>
          <w:lang w:eastAsia="en-AU"/>
        </w:rPr>
        <w:t>We value and pride ourselves on our partnership with families</w:t>
      </w:r>
      <w:r w:rsidR="00876436" w:rsidRPr="00C60151">
        <w:rPr>
          <w:rFonts w:asciiTheme="majorHAnsi" w:hAnsiTheme="majorHAnsi" w:cs="Arial"/>
          <w:szCs w:val="18"/>
          <w:lang w:eastAsia="en-AU"/>
        </w:rPr>
        <w:t>. We believe families are children’s first teachers and therefore we embrace parents, guardians and</w:t>
      </w:r>
      <w:r w:rsidR="00876695" w:rsidRPr="00C60151">
        <w:rPr>
          <w:rFonts w:asciiTheme="majorHAnsi" w:hAnsiTheme="majorHAnsi" w:cs="Arial"/>
          <w:szCs w:val="18"/>
          <w:lang w:eastAsia="en-AU"/>
        </w:rPr>
        <w:t xml:space="preserve"> family involvement within our S</w:t>
      </w:r>
      <w:r w:rsidR="00876436" w:rsidRPr="00C60151">
        <w:rPr>
          <w:rFonts w:asciiTheme="majorHAnsi" w:hAnsiTheme="majorHAnsi" w:cs="Arial"/>
          <w:szCs w:val="18"/>
          <w:lang w:eastAsia="en-AU"/>
        </w:rPr>
        <w:t xml:space="preserve">ervice. </w:t>
      </w:r>
      <w:r w:rsidR="00D024A3" w:rsidRPr="00C60151">
        <w:rPr>
          <w:rFonts w:asciiTheme="majorHAnsi" w:hAnsiTheme="majorHAnsi" w:cs="Helvetica"/>
          <w:shd w:val="clear" w:color="auto" w:fill="FFFFFF"/>
        </w:rPr>
        <w:t>Participation by parents, guardians and families conveys a positive impression to children and allows them to feel supported as well as a sense of belonging.</w:t>
      </w:r>
    </w:p>
    <w:p w14:paraId="072F4917" w14:textId="61E747A1" w:rsidR="00094909" w:rsidRDefault="00FF501D">
      <w:pPr>
        <w:rPr>
          <w:rFonts w:asciiTheme="majorHAnsi" w:hAnsiTheme="majorHAnsi" w:cs="Arial"/>
          <w:szCs w:val="18"/>
          <w:lang w:eastAsia="en-AU"/>
        </w:rPr>
      </w:pPr>
      <w:r w:rsidRPr="00C60151">
        <w:rPr>
          <w:rFonts w:asciiTheme="majorHAnsi" w:hAnsiTheme="majorHAnsi" w:cs="Arial"/>
          <w:szCs w:val="18"/>
          <w:lang w:eastAsia="en-AU"/>
        </w:rPr>
        <w:t>We believe in offering an open door policy in which fam</w:t>
      </w:r>
      <w:r w:rsidR="00E76FBC" w:rsidRPr="00C60151">
        <w:rPr>
          <w:rFonts w:asciiTheme="majorHAnsi" w:hAnsiTheme="majorHAnsi" w:cs="Arial"/>
          <w:szCs w:val="18"/>
          <w:lang w:eastAsia="en-AU"/>
        </w:rPr>
        <w:t>ilies are welcome to visit the S</w:t>
      </w:r>
      <w:r w:rsidRPr="00C60151">
        <w:rPr>
          <w:rFonts w:asciiTheme="majorHAnsi" w:hAnsiTheme="majorHAnsi" w:cs="Arial"/>
          <w:szCs w:val="18"/>
          <w:lang w:eastAsia="en-AU"/>
        </w:rPr>
        <w:t>ervice when it is convenient for them.</w:t>
      </w:r>
      <w:r w:rsidRPr="00E76FBC">
        <w:rPr>
          <w:rFonts w:asciiTheme="majorHAnsi" w:hAnsiTheme="majorHAnsi" w:cs="Arial"/>
          <w:szCs w:val="18"/>
          <w:lang w:eastAsia="en-AU"/>
        </w:rPr>
        <w:t xml:space="preserve"> </w:t>
      </w:r>
    </w:p>
    <w:p w14:paraId="037D223B" w14:textId="77777777" w:rsidR="00E76FBC" w:rsidRPr="00E76FBC" w:rsidRDefault="00E76FBC">
      <w:pPr>
        <w:rPr>
          <w:rFonts w:asciiTheme="majorHAnsi" w:hAnsiTheme="majorHAnsi" w:cs="Arial"/>
          <w:szCs w:val="18"/>
          <w:lang w:eastAsia="en-AU"/>
        </w:rPr>
      </w:pPr>
    </w:p>
    <w:p w14:paraId="553DE4FF" w14:textId="6851C6EA" w:rsidR="00BC7143" w:rsidRPr="00A306A2" w:rsidRDefault="008766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National Quality Standard</w:t>
      </w:r>
      <w:r w:rsidR="00401021" w:rsidRPr="00A306A2">
        <w:rPr>
          <w:rFonts w:asciiTheme="majorHAnsi" w:hAnsiTheme="majorHAnsi"/>
          <w:b/>
        </w:rPr>
        <w:t xml:space="preserve"> (NQS)</w:t>
      </w:r>
    </w:p>
    <w:tbl>
      <w:tblPr>
        <w:tblStyle w:val="GridTable1Light-Accent31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40"/>
      </w:tblGrid>
      <w:tr w:rsidR="0031534D" w:rsidRPr="00670E91" w14:paraId="04E98E73" w14:textId="77777777" w:rsidTr="00F83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321C5B5B" w14:textId="77777777" w:rsidR="0031534D" w:rsidRPr="00670E91" w:rsidRDefault="0031534D" w:rsidP="00F83AFE">
            <w:pPr>
              <w:spacing w:line="360" w:lineRule="auto"/>
              <w:rPr>
                <w:rFonts w:ascii="Calibri Light" w:hAnsi="Calibri Light"/>
              </w:rPr>
            </w:pPr>
            <w:r w:rsidRPr="00670E91">
              <w:rPr>
                <w:rFonts w:ascii="Calibri Light" w:hAnsi="Calibri Light"/>
              </w:rPr>
              <w:t>Quality Area 6: Collaborative Partnerships</w:t>
            </w:r>
          </w:p>
        </w:tc>
      </w:tr>
      <w:tr w:rsidR="0031534D" w:rsidRPr="00670E91" w14:paraId="7B65AA04" w14:textId="77777777" w:rsidTr="00F8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0A83D5" w14:textId="77777777" w:rsidR="0031534D" w:rsidRPr="00670E91" w:rsidRDefault="0031534D" w:rsidP="00F83AFE">
            <w:pPr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 w:val="0"/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217042BF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/>
                <w:sz w:val="18"/>
                <w:szCs w:val="18"/>
              </w:rPr>
              <w:t xml:space="preserve">Supportive relationships with families </w:t>
            </w:r>
          </w:p>
        </w:tc>
        <w:tc>
          <w:tcPr>
            <w:tcW w:w="5640" w:type="dxa"/>
          </w:tcPr>
          <w:p w14:paraId="6ABD4DFC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sz w:val="18"/>
                <w:szCs w:val="18"/>
              </w:rPr>
              <w:t xml:space="preserve">Respectful relationships with families are developed and maintained and families are supported in their parenting role </w:t>
            </w:r>
          </w:p>
        </w:tc>
      </w:tr>
      <w:tr w:rsidR="0031534D" w:rsidRPr="00670E91" w14:paraId="4C425533" w14:textId="77777777" w:rsidTr="00F83AFE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3843C2" w14:textId="77777777" w:rsidR="0031534D" w:rsidRPr="00670E91" w:rsidRDefault="0031534D" w:rsidP="00F83AFE">
            <w:pPr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 w:val="0"/>
                <w:sz w:val="18"/>
                <w:szCs w:val="18"/>
              </w:rPr>
              <w:t>6.1.1</w:t>
            </w:r>
          </w:p>
        </w:tc>
        <w:tc>
          <w:tcPr>
            <w:tcW w:w="3119" w:type="dxa"/>
          </w:tcPr>
          <w:p w14:paraId="378C16F5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/>
                <w:sz w:val="18"/>
                <w:szCs w:val="18"/>
              </w:rPr>
              <w:t xml:space="preserve">Engagement with the service </w:t>
            </w:r>
          </w:p>
        </w:tc>
        <w:tc>
          <w:tcPr>
            <w:tcW w:w="5640" w:type="dxa"/>
          </w:tcPr>
          <w:p w14:paraId="145998A9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sz w:val="18"/>
                <w:szCs w:val="18"/>
              </w:rPr>
              <w:t xml:space="preserve">Families are supported from enrolment to be involved in their service and contribute to service decisions </w:t>
            </w:r>
          </w:p>
        </w:tc>
      </w:tr>
      <w:tr w:rsidR="0031534D" w:rsidRPr="00670E91" w14:paraId="74500FB7" w14:textId="77777777" w:rsidTr="00F8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7CB5C25" w14:textId="77777777" w:rsidR="0031534D" w:rsidRPr="00670E91" w:rsidRDefault="0031534D" w:rsidP="00F83AFE">
            <w:pPr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 w:val="0"/>
                <w:sz w:val="18"/>
                <w:szCs w:val="18"/>
              </w:rPr>
              <w:t>6.1.2</w:t>
            </w:r>
          </w:p>
        </w:tc>
        <w:tc>
          <w:tcPr>
            <w:tcW w:w="3119" w:type="dxa"/>
          </w:tcPr>
          <w:p w14:paraId="3F9AD062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/>
                <w:sz w:val="18"/>
                <w:szCs w:val="18"/>
              </w:rPr>
              <w:t xml:space="preserve">Parent views ae respected </w:t>
            </w:r>
          </w:p>
        </w:tc>
        <w:tc>
          <w:tcPr>
            <w:tcW w:w="5640" w:type="dxa"/>
          </w:tcPr>
          <w:p w14:paraId="31390A62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sz w:val="18"/>
                <w:szCs w:val="18"/>
              </w:rPr>
              <w:t>The expertise, culture, values and beliefs of families are respected and families share in decision-making about their child’s learning and wellbeing.</w:t>
            </w:r>
          </w:p>
        </w:tc>
      </w:tr>
      <w:tr w:rsidR="0031534D" w:rsidRPr="00670E91" w14:paraId="016AF66D" w14:textId="77777777" w:rsidTr="00F8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E77CF93" w14:textId="77777777" w:rsidR="0031534D" w:rsidRPr="00670E91" w:rsidRDefault="0031534D" w:rsidP="00F83AFE">
            <w:pPr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 w:val="0"/>
                <w:sz w:val="18"/>
                <w:szCs w:val="18"/>
              </w:rPr>
              <w:t>6.1.3</w:t>
            </w:r>
          </w:p>
        </w:tc>
        <w:tc>
          <w:tcPr>
            <w:tcW w:w="3119" w:type="dxa"/>
          </w:tcPr>
          <w:p w14:paraId="15630A0E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/>
                <w:sz w:val="18"/>
                <w:szCs w:val="18"/>
              </w:rPr>
              <w:t xml:space="preserve">Families are supported </w:t>
            </w:r>
          </w:p>
        </w:tc>
        <w:tc>
          <w:tcPr>
            <w:tcW w:w="5640" w:type="dxa"/>
          </w:tcPr>
          <w:p w14:paraId="138571C9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sz w:val="18"/>
                <w:szCs w:val="18"/>
              </w:rPr>
              <w:t>Current information is available to families about the service and relevant community services and resources to support parenting and family wellbeing.</w:t>
            </w:r>
          </w:p>
        </w:tc>
      </w:tr>
      <w:tr w:rsidR="0031534D" w:rsidRPr="00670E91" w14:paraId="4DDFD940" w14:textId="77777777" w:rsidTr="00F8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F7C753B" w14:textId="77777777" w:rsidR="0031534D" w:rsidRPr="00670E91" w:rsidRDefault="0031534D" w:rsidP="00F83AFE">
            <w:pPr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 w:val="0"/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14:paraId="64AA5D22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/>
                <w:sz w:val="18"/>
                <w:szCs w:val="18"/>
              </w:rPr>
              <w:t>Collaborative partnerships</w:t>
            </w:r>
          </w:p>
        </w:tc>
        <w:tc>
          <w:tcPr>
            <w:tcW w:w="5640" w:type="dxa"/>
          </w:tcPr>
          <w:p w14:paraId="76C3BABD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sz w:val="18"/>
                <w:szCs w:val="18"/>
              </w:rPr>
              <w:t>Collaborative partnerships enhance children’s inclusion, learning and wellbeing.</w:t>
            </w:r>
          </w:p>
        </w:tc>
      </w:tr>
      <w:tr w:rsidR="0031534D" w:rsidRPr="00BE2712" w14:paraId="07F0ABEF" w14:textId="77777777" w:rsidTr="00F8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F9E3801" w14:textId="77777777" w:rsidR="0031534D" w:rsidRPr="00670E91" w:rsidRDefault="0031534D" w:rsidP="00F83AFE">
            <w:pPr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 w:val="0"/>
                <w:sz w:val="18"/>
                <w:szCs w:val="18"/>
              </w:rPr>
              <w:t>6.2.3</w:t>
            </w:r>
          </w:p>
        </w:tc>
        <w:tc>
          <w:tcPr>
            <w:tcW w:w="3119" w:type="dxa"/>
          </w:tcPr>
          <w:p w14:paraId="13D74A58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70E91">
              <w:rPr>
                <w:rFonts w:asciiTheme="majorHAnsi" w:hAnsiTheme="majorHAnsi"/>
                <w:b/>
                <w:sz w:val="18"/>
                <w:szCs w:val="18"/>
              </w:rPr>
              <w:t xml:space="preserve">Community and engagement </w:t>
            </w:r>
          </w:p>
        </w:tc>
        <w:tc>
          <w:tcPr>
            <w:tcW w:w="5640" w:type="dxa"/>
          </w:tcPr>
          <w:p w14:paraId="454BCC7D" w14:textId="77777777" w:rsidR="0031534D" w:rsidRPr="00670E91" w:rsidRDefault="0031534D" w:rsidP="00F83A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70E91">
              <w:rPr>
                <w:rFonts w:asciiTheme="majorHAnsi" w:hAnsiTheme="majorHAnsi"/>
                <w:sz w:val="18"/>
                <w:szCs w:val="18"/>
              </w:rPr>
              <w:t>The service builds relationships and engages with its community</w:t>
            </w:r>
          </w:p>
        </w:tc>
      </w:tr>
    </w:tbl>
    <w:p w14:paraId="43B2AFA0" w14:textId="77777777" w:rsidR="00401021" w:rsidRDefault="00401021">
      <w:pPr>
        <w:rPr>
          <w:rFonts w:asciiTheme="majorHAnsi" w:hAnsiTheme="majorHAnsi"/>
        </w:rPr>
      </w:pPr>
    </w:p>
    <w:p w14:paraId="39800B00" w14:textId="77777777" w:rsidR="00BC7143" w:rsidRPr="00A306A2" w:rsidRDefault="00BC7143">
      <w:pPr>
        <w:rPr>
          <w:rFonts w:asciiTheme="majorHAnsi" w:hAnsiTheme="majorHAnsi"/>
          <w:b/>
        </w:rPr>
      </w:pPr>
      <w:r w:rsidRPr="00A306A2">
        <w:rPr>
          <w:rFonts w:asciiTheme="majorHAnsi" w:hAnsiTheme="majorHAnsi"/>
          <w:b/>
        </w:rPr>
        <w:t>PURPOSE</w:t>
      </w:r>
    </w:p>
    <w:p w14:paraId="593C2562" w14:textId="7EA53194" w:rsidR="00094909" w:rsidRPr="00CE4C65" w:rsidRDefault="00094909">
      <w:pPr>
        <w:rPr>
          <w:rFonts w:asciiTheme="majorHAnsi" w:hAnsiTheme="majorHAnsi" w:cs="Arial"/>
          <w:szCs w:val="18"/>
          <w:lang w:eastAsia="en-AU"/>
        </w:rPr>
      </w:pPr>
      <w:r w:rsidRPr="00C60151">
        <w:rPr>
          <w:rFonts w:asciiTheme="majorHAnsi" w:hAnsiTheme="majorHAnsi" w:cs="Arial"/>
          <w:szCs w:val="18"/>
          <w:lang w:eastAsia="en-AU"/>
        </w:rPr>
        <w:t xml:space="preserve">To </w:t>
      </w:r>
      <w:r w:rsidR="00107D70" w:rsidRPr="00C60151">
        <w:rPr>
          <w:rFonts w:asciiTheme="majorHAnsi" w:hAnsiTheme="majorHAnsi" w:cs="Arial"/>
          <w:szCs w:val="18"/>
          <w:lang w:eastAsia="en-AU"/>
        </w:rPr>
        <w:t xml:space="preserve">ensure </w:t>
      </w:r>
      <w:r w:rsidR="00FF501D" w:rsidRPr="00C60151">
        <w:rPr>
          <w:rFonts w:asciiTheme="majorHAnsi" w:hAnsiTheme="majorHAnsi" w:cs="Arial"/>
          <w:szCs w:val="18"/>
          <w:lang w:eastAsia="en-AU"/>
        </w:rPr>
        <w:t>the best care fo</w:t>
      </w:r>
      <w:r w:rsidR="008E340A" w:rsidRPr="00C60151">
        <w:rPr>
          <w:rFonts w:asciiTheme="majorHAnsi" w:hAnsiTheme="majorHAnsi" w:cs="Arial"/>
          <w:szCs w:val="18"/>
          <w:lang w:eastAsia="en-AU"/>
        </w:rPr>
        <w:t>r children and families, we believe it is important to provide them with the opportunity to visit</w:t>
      </w:r>
      <w:r w:rsidR="004A595B" w:rsidRPr="00C60151">
        <w:rPr>
          <w:rFonts w:asciiTheme="majorHAnsi" w:hAnsiTheme="majorHAnsi" w:cs="Arial"/>
          <w:szCs w:val="18"/>
          <w:lang w:eastAsia="en-AU"/>
        </w:rPr>
        <w:t xml:space="preserve"> </w:t>
      </w:r>
      <w:r w:rsidR="008E340A" w:rsidRPr="00C60151">
        <w:rPr>
          <w:rFonts w:asciiTheme="majorHAnsi" w:hAnsiTheme="majorHAnsi" w:cs="Arial"/>
          <w:szCs w:val="18"/>
          <w:lang w:eastAsia="en-AU"/>
        </w:rPr>
        <w:t>our facilities</w:t>
      </w:r>
      <w:r w:rsidR="004A595B" w:rsidRPr="00C60151">
        <w:rPr>
          <w:rFonts w:asciiTheme="majorHAnsi" w:hAnsiTheme="majorHAnsi" w:cs="Arial"/>
          <w:szCs w:val="18"/>
          <w:lang w:eastAsia="en-AU"/>
        </w:rPr>
        <w:t xml:space="preserve"> and participate in our program</w:t>
      </w:r>
      <w:r w:rsidR="00C666BF" w:rsidRPr="00C60151">
        <w:rPr>
          <w:rFonts w:asciiTheme="majorHAnsi" w:hAnsiTheme="majorHAnsi" w:cs="Arial"/>
          <w:szCs w:val="18"/>
          <w:lang w:eastAsia="en-AU"/>
        </w:rPr>
        <w:t xml:space="preserve"> at a time</w:t>
      </w:r>
      <w:r w:rsidR="008E340A" w:rsidRPr="00C60151">
        <w:rPr>
          <w:rFonts w:asciiTheme="majorHAnsi" w:hAnsiTheme="majorHAnsi" w:cs="Arial"/>
          <w:szCs w:val="18"/>
          <w:lang w:eastAsia="en-AU"/>
        </w:rPr>
        <w:t xml:space="preserve"> that is appropriate for them. </w:t>
      </w:r>
      <w:r w:rsidR="00D024A3" w:rsidRPr="00C60151">
        <w:rPr>
          <w:rFonts w:asciiTheme="majorHAnsi" w:hAnsiTheme="majorHAnsi" w:cs="Arial"/>
          <w:szCs w:val="18"/>
          <w:lang w:eastAsia="en-AU"/>
        </w:rPr>
        <w:t>We encourage families to join in on our learning activities and celebrate events and special days with us.</w:t>
      </w:r>
      <w:r w:rsidR="00D024A3">
        <w:rPr>
          <w:rFonts w:asciiTheme="majorHAnsi" w:hAnsiTheme="majorHAnsi" w:cs="Arial"/>
          <w:szCs w:val="18"/>
          <w:lang w:eastAsia="en-AU"/>
        </w:rPr>
        <w:t xml:space="preserve"> </w:t>
      </w:r>
    </w:p>
    <w:p w14:paraId="226BFCFE" w14:textId="77777777" w:rsidR="00CE4C65" w:rsidRDefault="00CE4C65">
      <w:pPr>
        <w:rPr>
          <w:rFonts w:asciiTheme="majorHAnsi" w:hAnsiTheme="majorHAnsi"/>
          <w:b/>
        </w:rPr>
      </w:pPr>
    </w:p>
    <w:p w14:paraId="1E9BB039" w14:textId="77777777" w:rsidR="00401021" w:rsidRPr="00A306A2" w:rsidRDefault="00401021">
      <w:pPr>
        <w:rPr>
          <w:rFonts w:asciiTheme="majorHAnsi" w:hAnsiTheme="majorHAnsi"/>
          <w:b/>
        </w:rPr>
      </w:pPr>
      <w:r w:rsidRPr="00A306A2">
        <w:rPr>
          <w:rFonts w:asciiTheme="majorHAnsi" w:hAnsiTheme="majorHAnsi"/>
          <w:b/>
        </w:rPr>
        <w:t>SCOPE</w:t>
      </w:r>
    </w:p>
    <w:p w14:paraId="55C4354D" w14:textId="5C04D8E1" w:rsidR="00DE3AD4" w:rsidRDefault="00401021">
      <w:pPr>
        <w:rPr>
          <w:rFonts w:asciiTheme="majorHAnsi" w:hAnsiTheme="majorHAnsi"/>
        </w:rPr>
      </w:pPr>
      <w:r w:rsidRPr="00A306A2">
        <w:rPr>
          <w:rFonts w:asciiTheme="majorHAnsi" w:hAnsiTheme="majorHAnsi"/>
        </w:rPr>
        <w:t xml:space="preserve">This policy applies to </w:t>
      </w:r>
      <w:r w:rsidR="00CB647A" w:rsidRPr="00A306A2">
        <w:rPr>
          <w:rFonts w:asciiTheme="majorHAnsi" w:hAnsiTheme="majorHAnsi"/>
        </w:rPr>
        <w:t xml:space="preserve">children, families, staff, </w:t>
      </w:r>
      <w:r w:rsidRPr="00A306A2">
        <w:rPr>
          <w:rFonts w:asciiTheme="majorHAnsi" w:hAnsiTheme="majorHAnsi"/>
        </w:rPr>
        <w:t>management and visitors</w:t>
      </w:r>
      <w:r w:rsidR="00E76FBC">
        <w:rPr>
          <w:rFonts w:asciiTheme="majorHAnsi" w:hAnsiTheme="majorHAnsi"/>
        </w:rPr>
        <w:t xml:space="preserve"> of the S</w:t>
      </w:r>
      <w:r w:rsidR="00E247E9" w:rsidRPr="00A306A2">
        <w:rPr>
          <w:rFonts w:asciiTheme="majorHAnsi" w:hAnsiTheme="majorHAnsi"/>
        </w:rPr>
        <w:t>ervice.</w:t>
      </w:r>
    </w:p>
    <w:p w14:paraId="73A50CCD" w14:textId="77777777" w:rsidR="00094909" w:rsidRDefault="00094909">
      <w:pPr>
        <w:rPr>
          <w:rFonts w:asciiTheme="majorHAnsi" w:hAnsiTheme="majorHAnsi"/>
          <w:b/>
        </w:rPr>
      </w:pPr>
    </w:p>
    <w:p w14:paraId="2602C720" w14:textId="686A6D16" w:rsidR="00C60151" w:rsidRPr="00C60151" w:rsidRDefault="00C60151">
      <w:pPr>
        <w:rPr>
          <w:rFonts w:asciiTheme="majorHAnsi" w:hAnsiTheme="majorHAnsi"/>
          <w:color w:val="808080" w:themeColor="background1" w:themeShade="80"/>
        </w:rPr>
      </w:pPr>
      <w:r w:rsidRPr="00C60151">
        <w:rPr>
          <w:rFonts w:asciiTheme="majorHAnsi" w:hAnsiTheme="majorHAnsi"/>
          <w:color w:val="808080" w:themeColor="background1" w:themeShade="80"/>
        </w:rPr>
        <w:t>Continued:</w:t>
      </w:r>
    </w:p>
    <w:p w14:paraId="539DD111" w14:textId="77777777" w:rsidR="00C60151" w:rsidRDefault="00C60151">
      <w:pPr>
        <w:rPr>
          <w:rFonts w:asciiTheme="majorHAnsi" w:hAnsiTheme="majorHAnsi"/>
          <w:b/>
        </w:rPr>
      </w:pPr>
    </w:p>
    <w:p w14:paraId="4F27CE63" w14:textId="77777777" w:rsidR="001D6495" w:rsidRDefault="001D6495">
      <w:pPr>
        <w:rPr>
          <w:rFonts w:asciiTheme="majorHAnsi" w:hAnsiTheme="majorHAnsi"/>
          <w:b/>
        </w:rPr>
      </w:pPr>
      <w:r w:rsidRPr="00A306A2">
        <w:rPr>
          <w:rFonts w:asciiTheme="majorHAnsi" w:hAnsiTheme="majorHAnsi"/>
          <w:b/>
        </w:rPr>
        <w:t>IMPLEMENTATION</w:t>
      </w:r>
    </w:p>
    <w:p w14:paraId="453A0E8E" w14:textId="1A35A1EC" w:rsidR="00094909" w:rsidRDefault="00971024" w:rsidP="008E340A">
      <w:r w:rsidRPr="00C60151">
        <w:rPr>
          <w:rFonts w:asciiTheme="majorHAnsi" w:hAnsiTheme="majorHAnsi" w:cs="Calibri"/>
        </w:rPr>
        <w:t>We</w:t>
      </w:r>
      <w:r w:rsidR="00094909" w:rsidRPr="00C60151">
        <w:rPr>
          <w:rFonts w:asciiTheme="majorHAnsi" w:hAnsiTheme="majorHAnsi" w:cs="Calibri"/>
        </w:rPr>
        <w:t xml:space="preserve"> </w:t>
      </w:r>
      <w:r w:rsidR="00C666BF" w:rsidRPr="00C60151">
        <w:rPr>
          <w:rFonts w:asciiTheme="majorHAnsi" w:hAnsiTheme="majorHAnsi" w:cs="Calibri"/>
        </w:rPr>
        <w:t>operate</w:t>
      </w:r>
      <w:r w:rsidR="00D024A3" w:rsidRPr="00C60151">
        <w:rPr>
          <w:rFonts w:asciiTheme="majorHAnsi" w:hAnsiTheme="majorHAnsi" w:cs="Calibri"/>
        </w:rPr>
        <w:t xml:space="preserve"> with</w:t>
      </w:r>
      <w:r w:rsidR="00C666BF" w:rsidRPr="00C60151">
        <w:rPr>
          <w:rFonts w:asciiTheme="majorHAnsi" w:hAnsiTheme="majorHAnsi" w:cs="Calibri"/>
        </w:rPr>
        <w:t xml:space="preserve"> an open door policy, where f</w:t>
      </w:r>
      <w:r w:rsidRPr="00C60151">
        <w:rPr>
          <w:rFonts w:asciiTheme="majorHAnsi" w:hAnsiTheme="majorHAnsi" w:cs="Calibri"/>
        </w:rPr>
        <w:t>amilies are welcome to visit</w:t>
      </w:r>
      <w:r w:rsidR="00C666BF" w:rsidRPr="00C60151">
        <w:rPr>
          <w:rFonts w:asciiTheme="majorHAnsi" w:hAnsiTheme="majorHAnsi" w:cs="Calibri"/>
        </w:rPr>
        <w:t xml:space="preserve"> </w:t>
      </w:r>
      <w:r w:rsidR="00E76FBC" w:rsidRPr="00C60151">
        <w:rPr>
          <w:rFonts w:asciiTheme="majorHAnsi" w:hAnsiTheme="majorHAnsi" w:cs="Calibri"/>
        </w:rPr>
        <w:t>our S</w:t>
      </w:r>
      <w:r w:rsidRPr="00C60151">
        <w:rPr>
          <w:rFonts w:asciiTheme="majorHAnsi" w:hAnsiTheme="majorHAnsi" w:cs="Calibri"/>
        </w:rPr>
        <w:t xml:space="preserve">ervice </w:t>
      </w:r>
      <w:r w:rsidR="00D024A3" w:rsidRPr="00C60151">
        <w:rPr>
          <w:rFonts w:asciiTheme="majorHAnsi" w:hAnsiTheme="majorHAnsi" w:cs="Calibri"/>
        </w:rPr>
        <w:t xml:space="preserve">anytime </w:t>
      </w:r>
      <w:r w:rsidRPr="00C60151">
        <w:rPr>
          <w:rFonts w:asciiTheme="majorHAnsi" w:hAnsiTheme="majorHAnsi" w:cs="Calibri"/>
        </w:rPr>
        <w:t>during</w:t>
      </w:r>
      <w:r w:rsidR="00C666BF" w:rsidRPr="00C60151">
        <w:rPr>
          <w:rFonts w:asciiTheme="majorHAnsi" w:hAnsiTheme="majorHAnsi" w:cs="Calibri"/>
        </w:rPr>
        <w:t xml:space="preserve"> operating hours.</w:t>
      </w:r>
      <w:r w:rsidR="00A138B3" w:rsidRPr="00C60151">
        <w:rPr>
          <w:rFonts w:asciiTheme="majorHAnsi" w:hAnsiTheme="majorHAnsi" w:cs="Calibri"/>
        </w:rPr>
        <w:t xml:space="preserve"> There are many opportunities for f</w:t>
      </w:r>
      <w:r w:rsidR="00905E03" w:rsidRPr="00C60151">
        <w:rPr>
          <w:rFonts w:asciiTheme="majorHAnsi" w:hAnsiTheme="majorHAnsi" w:cs="Calibri"/>
        </w:rPr>
        <w:t>amily involvement. We recognise</w:t>
      </w:r>
      <w:r w:rsidR="00A138B3" w:rsidRPr="00C60151">
        <w:rPr>
          <w:rFonts w:asciiTheme="majorHAnsi" w:hAnsiTheme="majorHAnsi" w:cs="Calibri"/>
        </w:rPr>
        <w:t xml:space="preserve"> that time is </w:t>
      </w:r>
      <w:r w:rsidR="00905E03" w:rsidRPr="00C60151">
        <w:rPr>
          <w:rFonts w:asciiTheme="majorHAnsi" w:hAnsiTheme="majorHAnsi" w:cs="Calibri"/>
        </w:rPr>
        <w:t>valuable</w:t>
      </w:r>
      <w:r w:rsidR="00A138B3" w:rsidRPr="00C60151">
        <w:rPr>
          <w:rFonts w:asciiTheme="majorHAnsi" w:hAnsiTheme="majorHAnsi" w:cs="Calibri"/>
        </w:rPr>
        <w:t xml:space="preserve"> to all families, which is why we accommodate ma</w:t>
      </w:r>
      <w:r w:rsidR="00905E03" w:rsidRPr="00C60151">
        <w:rPr>
          <w:rFonts w:asciiTheme="majorHAnsi" w:hAnsiTheme="majorHAnsi" w:cs="Calibri"/>
        </w:rPr>
        <w:t>n</w:t>
      </w:r>
      <w:r w:rsidR="00A138B3" w:rsidRPr="00C60151">
        <w:rPr>
          <w:rFonts w:asciiTheme="majorHAnsi" w:hAnsiTheme="majorHAnsi" w:cs="Calibri"/>
        </w:rPr>
        <w:t>y</w:t>
      </w:r>
      <w:r w:rsidR="00905E03" w:rsidRPr="00C60151">
        <w:rPr>
          <w:rFonts w:asciiTheme="majorHAnsi" w:hAnsiTheme="majorHAnsi" w:cs="Calibri"/>
        </w:rPr>
        <w:t xml:space="preserve"> forms of participation and contribution.</w:t>
      </w:r>
      <w:r w:rsidR="00905E03">
        <w:rPr>
          <w:rFonts w:asciiTheme="majorHAnsi" w:hAnsiTheme="majorHAnsi" w:cs="Calibri"/>
        </w:rPr>
        <w:t xml:space="preserve"> </w:t>
      </w:r>
    </w:p>
    <w:p w14:paraId="7296F564" w14:textId="77777777" w:rsidR="00E76FBC" w:rsidRDefault="00E76FBC" w:rsidP="001D334A">
      <w:pPr>
        <w:rPr>
          <w:rFonts w:asciiTheme="majorHAnsi" w:hAnsiTheme="majorHAnsi"/>
          <w:color w:val="34ABC1"/>
          <w:sz w:val="24"/>
        </w:rPr>
      </w:pPr>
    </w:p>
    <w:p w14:paraId="45259DC8" w14:textId="5012E706" w:rsidR="001D334A" w:rsidRPr="004C4182" w:rsidRDefault="001D334A" w:rsidP="001D334A">
      <w:pPr>
        <w:rPr>
          <w:rFonts w:asciiTheme="majorHAnsi" w:hAnsiTheme="majorHAnsi"/>
          <w:color w:val="34ABC1"/>
          <w:sz w:val="24"/>
        </w:rPr>
      </w:pPr>
      <w:r w:rsidRPr="004C4182">
        <w:rPr>
          <w:rFonts w:asciiTheme="majorHAnsi" w:hAnsiTheme="majorHAnsi"/>
          <w:color w:val="34ABC1"/>
          <w:sz w:val="24"/>
        </w:rPr>
        <w:t xml:space="preserve">Management </w:t>
      </w:r>
      <w:r w:rsidR="00767072">
        <w:rPr>
          <w:rFonts w:asciiTheme="majorHAnsi" w:hAnsiTheme="majorHAnsi"/>
          <w:color w:val="34ABC1"/>
          <w:sz w:val="24"/>
        </w:rPr>
        <w:t xml:space="preserve">and Educators </w:t>
      </w:r>
      <w:r w:rsidRPr="004C4182">
        <w:rPr>
          <w:rFonts w:asciiTheme="majorHAnsi" w:hAnsiTheme="majorHAnsi"/>
          <w:color w:val="34ABC1"/>
          <w:sz w:val="24"/>
        </w:rPr>
        <w:t>will ensure:</w:t>
      </w:r>
    </w:p>
    <w:p w14:paraId="6FE5EDDC" w14:textId="7A8A095E" w:rsidR="00971024" w:rsidRPr="00E76FBC" w:rsidRDefault="00767072" w:rsidP="008E340A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/>
        </w:rPr>
      </w:pPr>
      <w:r w:rsidRPr="00E76FBC">
        <w:rPr>
          <w:rFonts w:asciiTheme="majorHAnsi" w:hAnsiTheme="majorHAnsi"/>
        </w:rPr>
        <w:t>Families are</w:t>
      </w:r>
      <w:r w:rsidR="00971024" w:rsidRPr="00E76FBC">
        <w:rPr>
          <w:rFonts w:asciiTheme="majorHAnsi" w:hAnsiTheme="majorHAnsi"/>
        </w:rPr>
        <w:t xml:space="preserve"> </w:t>
      </w:r>
      <w:r w:rsidRPr="00E76FBC">
        <w:rPr>
          <w:rFonts w:asciiTheme="majorHAnsi" w:hAnsiTheme="majorHAnsi"/>
        </w:rPr>
        <w:t xml:space="preserve">always </w:t>
      </w:r>
      <w:r w:rsidR="00971024" w:rsidRPr="00E76FBC">
        <w:rPr>
          <w:rFonts w:asciiTheme="majorHAnsi" w:hAnsiTheme="majorHAnsi"/>
        </w:rPr>
        <w:t>wel</w:t>
      </w:r>
      <w:r w:rsidR="00876695">
        <w:rPr>
          <w:rFonts w:asciiTheme="majorHAnsi" w:hAnsiTheme="majorHAnsi"/>
        </w:rPr>
        <w:t>come to spend time in the S</w:t>
      </w:r>
      <w:r w:rsidR="00E76FBC" w:rsidRPr="00E76FBC">
        <w:rPr>
          <w:rFonts w:asciiTheme="majorHAnsi" w:hAnsiTheme="majorHAnsi"/>
        </w:rPr>
        <w:t>ervice</w:t>
      </w:r>
      <w:r w:rsidR="00971024" w:rsidRPr="00E76FBC">
        <w:rPr>
          <w:rFonts w:asciiTheme="majorHAnsi" w:hAnsiTheme="majorHAnsi"/>
        </w:rPr>
        <w:t xml:space="preserve"> and share special moments with their children</w:t>
      </w:r>
      <w:r w:rsidR="00876695">
        <w:rPr>
          <w:rFonts w:asciiTheme="majorHAnsi" w:hAnsiTheme="majorHAnsi"/>
        </w:rPr>
        <w:t>.</w:t>
      </w:r>
      <w:r w:rsidR="00971024" w:rsidRPr="00E76FBC">
        <w:rPr>
          <w:rFonts w:asciiTheme="majorHAnsi" w:hAnsiTheme="majorHAnsi"/>
        </w:rPr>
        <w:t xml:space="preserve"> </w:t>
      </w:r>
    </w:p>
    <w:p w14:paraId="069B5B1C" w14:textId="7202A259" w:rsidR="00767072" w:rsidRDefault="00767072" w:rsidP="008E340A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/>
        </w:rPr>
      </w:pPr>
      <w:r w:rsidRPr="00E76FBC">
        <w:rPr>
          <w:rFonts w:asciiTheme="majorHAnsi" w:hAnsiTheme="majorHAnsi"/>
        </w:rPr>
        <w:t>Families are conscious of our open door policy and are welcome to join in learning activities, celebrate events and special day</w:t>
      </w:r>
      <w:r w:rsidR="00E76FBC" w:rsidRPr="00E76FBC">
        <w:rPr>
          <w:rFonts w:asciiTheme="majorHAnsi" w:hAnsiTheme="majorHAnsi"/>
        </w:rPr>
        <w:t>s held at the S</w:t>
      </w:r>
      <w:r w:rsidRPr="00E76FBC">
        <w:rPr>
          <w:rFonts w:asciiTheme="majorHAnsi" w:hAnsiTheme="majorHAnsi"/>
        </w:rPr>
        <w:t xml:space="preserve">ervice.  </w:t>
      </w:r>
    </w:p>
    <w:p w14:paraId="1691909C" w14:textId="1C964E3E" w:rsidR="00905E03" w:rsidRPr="00C60151" w:rsidRDefault="00905E03" w:rsidP="008E340A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Families are provided with information about special days and events they may want to participate in. For example</w:t>
      </w:r>
      <w:r w:rsidR="00876695" w:rsidRPr="00C60151">
        <w:rPr>
          <w:rFonts w:asciiTheme="majorHAnsi" w:hAnsiTheme="majorHAnsi"/>
        </w:rPr>
        <w:t>:</w:t>
      </w:r>
    </w:p>
    <w:p w14:paraId="75F57DEA" w14:textId="678C2AF5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Disco</w:t>
      </w:r>
    </w:p>
    <w:p w14:paraId="2523C012" w14:textId="7A12A6CC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Easter Hat Parade</w:t>
      </w:r>
    </w:p>
    <w:p w14:paraId="0758F098" w14:textId="0E43A986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Mother’s Day</w:t>
      </w:r>
    </w:p>
    <w:p w14:paraId="37A9F5B3" w14:textId="696BCB07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Father’s Day </w:t>
      </w:r>
    </w:p>
    <w:p w14:paraId="7AD8C789" w14:textId="51E10ED6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Open Day</w:t>
      </w:r>
    </w:p>
    <w:p w14:paraId="6758B9E9" w14:textId="09FA7924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Grandparents Day </w:t>
      </w:r>
    </w:p>
    <w:p w14:paraId="6BF0A518" w14:textId="0B6AC34C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Graduation </w:t>
      </w:r>
    </w:p>
    <w:p w14:paraId="19D2FBCD" w14:textId="3E698876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Christmas Celebrations </w:t>
      </w:r>
    </w:p>
    <w:p w14:paraId="4E12B2FE" w14:textId="5FEF7EB5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Excursions/Incursions</w:t>
      </w:r>
    </w:p>
    <w:p w14:paraId="71A4F247" w14:textId="10E7CB44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Cultural visits </w:t>
      </w:r>
    </w:p>
    <w:p w14:paraId="01DCDBC5" w14:textId="37899CD0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Story Time </w:t>
      </w:r>
    </w:p>
    <w:p w14:paraId="276DBA1C" w14:textId="196035FB" w:rsidR="00905E03" w:rsidRPr="00C60151" w:rsidRDefault="00905E03" w:rsidP="00905E0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>Cooking Experience</w:t>
      </w:r>
    </w:p>
    <w:p w14:paraId="35A2ADF6" w14:textId="531CD473" w:rsidR="00767072" w:rsidRPr="00C60151" w:rsidRDefault="005422BE" w:rsidP="00CE4C65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C60151">
        <w:rPr>
          <w:rFonts w:asciiTheme="majorHAnsi" w:hAnsiTheme="majorHAnsi"/>
        </w:rPr>
        <w:t xml:space="preserve">Parent lead learning experiences </w:t>
      </w:r>
    </w:p>
    <w:p w14:paraId="140F1473" w14:textId="77777777" w:rsidR="00CE4C65" w:rsidRPr="00CE4C65" w:rsidRDefault="00CE4C65" w:rsidP="00CE4C65">
      <w:pPr>
        <w:spacing w:line="240" w:lineRule="auto"/>
        <w:ind w:left="720"/>
        <w:rPr>
          <w:rFonts w:asciiTheme="majorHAnsi" w:hAnsiTheme="majorHAnsi"/>
          <w:highlight w:val="yellow"/>
        </w:rPr>
      </w:pPr>
    </w:p>
    <w:p w14:paraId="0090D92F" w14:textId="2C86B777" w:rsidR="004C4182" w:rsidRDefault="004C4182" w:rsidP="008E340A">
      <w:pPr>
        <w:spacing w:line="240" w:lineRule="auto"/>
        <w:ind w:left="360"/>
        <w:rPr>
          <w:rFonts w:asciiTheme="majorHAnsi" w:hAnsiTheme="majorHAnsi"/>
          <w:color w:val="34ABC1"/>
          <w:sz w:val="24"/>
        </w:rPr>
      </w:pPr>
      <w:r w:rsidRPr="008E340A">
        <w:rPr>
          <w:rFonts w:asciiTheme="majorHAnsi" w:hAnsiTheme="majorHAnsi"/>
          <w:color w:val="34ABC1"/>
          <w:sz w:val="24"/>
        </w:rPr>
        <w:t>Fa</w:t>
      </w:r>
      <w:r w:rsidR="00FB4567">
        <w:rPr>
          <w:rFonts w:asciiTheme="majorHAnsi" w:hAnsiTheme="majorHAnsi"/>
          <w:color w:val="34ABC1"/>
          <w:sz w:val="24"/>
        </w:rPr>
        <w:t>milies can:</w:t>
      </w:r>
    </w:p>
    <w:p w14:paraId="303833F5" w14:textId="35F38DA7" w:rsidR="00707A19" w:rsidRDefault="00707A19" w:rsidP="00FB4567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Visit </w:t>
      </w:r>
      <w:r w:rsidR="00E76FBC">
        <w:rPr>
          <w:rFonts w:asciiTheme="majorHAnsi" w:hAnsiTheme="majorHAnsi"/>
        </w:rPr>
        <w:t>the S</w:t>
      </w:r>
      <w:r w:rsidR="006D3155">
        <w:rPr>
          <w:rFonts w:asciiTheme="majorHAnsi" w:hAnsiTheme="majorHAnsi"/>
        </w:rPr>
        <w:t xml:space="preserve">ervice at all times. This may include visiting their </w:t>
      </w:r>
      <w:r w:rsidR="00E76FBC" w:rsidRPr="00E76FBC">
        <w:rPr>
          <w:rFonts w:asciiTheme="majorHAnsi" w:hAnsiTheme="majorHAnsi"/>
          <w:i/>
        </w:rPr>
        <w:t>already enrolled</w:t>
      </w:r>
      <w:r w:rsidR="00E76FBC">
        <w:rPr>
          <w:rFonts w:asciiTheme="majorHAnsi" w:hAnsiTheme="majorHAnsi"/>
        </w:rPr>
        <w:t xml:space="preserve"> </w:t>
      </w:r>
      <w:r w:rsidR="006D3155">
        <w:rPr>
          <w:rFonts w:asciiTheme="majorHAnsi" w:hAnsiTheme="majorHAnsi"/>
        </w:rPr>
        <w:t>child or</w:t>
      </w:r>
      <w:r w:rsidR="00E76FBC">
        <w:rPr>
          <w:rFonts w:asciiTheme="majorHAnsi" w:hAnsiTheme="majorHAnsi"/>
        </w:rPr>
        <w:t xml:space="preserve"> as an enquiry prior to enrolment</w:t>
      </w:r>
      <w:r w:rsidR="006D3155">
        <w:rPr>
          <w:rFonts w:asciiTheme="majorHAnsi" w:hAnsiTheme="majorHAnsi"/>
        </w:rPr>
        <w:t>.</w:t>
      </w:r>
    </w:p>
    <w:p w14:paraId="439F68F1" w14:textId="39C256F2" w:rsidR="004C4182" w:rsidRDefault="00FB4567" w:rsidP="00FB4567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Participate in our program by sharing their skills with the children. This may include playing an instrument, telling a story, sharing cultural traditions, cooking experiences, workshops etc.  </w:t>
      </w:r>
    </w:p>
    <w:p w14:paraId="6E18C0B0" w14:textId="4FF5A52C" w:rsidR="00FB4567" w:rsidRDefault="00FB4567" w:rsidP="004C4182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Make an appointment with management to discuss their child. This may include the child’s progress, concerns, setting goals, etc.</w:t>
      </w:r>
    </w:p>
    <w:p w14:paraId="50D67FE7" w14:textId="4621CFDE" w:rsidR="00FB4567" w:rsidRDefault="00FB4567" w:rsidP="004C4182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Donate </w:t>
      </w:r>
      <w:r w:rsidR="00876695">
        <w:rPr>
          <w:rFonts w:asciiTheme="majorHAnsi" w:hAnsiTheme="majorHAnsi"/>
        </w:rPr>
        <w:t xml:space="preserve">recyclable </w:t>
      </w:r>
      <w:r w:rsidR="00BA1B23">
        <w:rPr>
          <w:rFonts w:asciiTheme="majorHAnsi" w:hAnsiTheme="majorHAnsi"/>
        </w:rPr>
        <w:t>material that</w:t>
      </w:r>
      <w:r>
        <w:rPr>
          <w:rFonts w:asciiTheme="majorHAnsi" w:hAnsiTheme="majorHAnsi"/>
        </w:rPr>
        <w:t xml:space="preserve"> can be used within our early childhood program</w:t>
      </w:r>
      <w:r w:rsidR="0087669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5B9B1AA9" w14:textId="36888E91" w:rsidR="00FB4567" w:rsidRDefault="00707A19" w:rsidP="004C4182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any changes that have occurred in the child’s life, such as changes in family circumstances, moving to a new house, death of a family or friend etc. </w:t>
      </w:r>
    </w:p>
    <w:p w14:paraId="1DCE642D" w14:textId="2B4DB915" w:rsidR="00FB4567" w:rsidRDefault="00E76FBC" w:rsidP="004C4182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Attend any Service</w:t>
      </w:r>
      <w:r w:rsidR="00707A19">
        <w:rPr>
          <w:rFonts w:asciiTheme="majorHAnsi" w:hAnsiTheme="majorHAnsi"/>
        </w:rPr>
        <w:t xml:space="preserve"> events and celebrations that are organised throughout the year</w:t>
      </w:r>
      <w:r w:rsidR="00876695">
        <w:rPr>
          <w:rFonts w:asciiTheme="majorHAnsi" w:hAnsiTheme="majorHAnsi"/>
        </w:rPr>
        <w:t>.</w:t>
      </w:r>
      <w:r w:rsidR="00707A19">
        <w:rPr>
          <w:rFonts w:asciiTheme="majorHAnsi" w:hAnsiTheme="majorHAnsi"/>
        </w:rPr>
        <w:t xml:space="preserve"> </w:t>
      </w:r>
    </w:p>
    <w:p w14:paraId="5E264C2F" w14:textId="5FC21C1D" w:rsidR="006D3155" w:rsidRDefault="006D3155" w:rsidP="004C4182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Share idea</w:t>
      </w:r>
      <w:r w:rsidR="00E76FBC">
        <w:rPr>
          <w:rFonts w:asciiTheme="majorHAnsi" w:hAnsiTheme="majorHAnsi"/>
        </w:rPr>
        <w:t>s and thoughts about the Service</w:t>
      </w:r>
      <w:r w:rsidR="00876695">
        <w:rPr>
          <w:rFonts w:asciiTheme="majorHAnsi" w:hAnsiTheme="majorHAnsi"/>
        </w:rPr>
        <w:t>.</w:t>
      </w:r>
    </w:p>
    <w:p w14:paraId="7E458721" w14:textId="295ADD59" w:rsidR="006D3155" w:rsidRDefault="006D3155" w:rsidP="004C4182">
      <w:pPr>
        <w:pStyle w:val="ListParagraph"/>
        <w:numPr>
          <w:ilvl w:val="0"/>
          <w:numId w:val="36"/>
        </w:numPr>
        <w:spacing w:after="20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Remain informed abou</w:t>
      </w:r>
      <w:r w:rsidR="00E76FBC">
        <w:rPr>
          <w:rFonts w:asciiTheme="majorHAnsi" w:hAnsiTheme="majorHAnsi"/>
        </w:rPr>
        <w:t>t what is happening within the S</w:t>
      </w:r>
      <w:r>
        <w:rPr>
          <w:rFonts w:asciiTheme="majorHAnsi" w:hAnsiTheme="majorHAnsi"/>
        </w:rPr>
        <w:t xml:space="preserve">ervice through discussions, newsletters, social media etc. </w:t>
      </w:r>
    </w:p>
    <w:p w14:paraId="53E02713" w14:textId="77777777" w:rsidR="006D3155" w:rsidRDefault="006D3155" w:rsidP="00767072">
      <w:pPr>
        <w:pStyle w:val="ListParagraph"/>
        <w:spacing w:after="200" w:line="240" w:lineRule="auto"/>
        <w:rPr>
          <w:rFonts w:asciiTheme="majorHAnsi" w:hAnsiTheme="majorHAnsi"/>
        </w:rPr>
      </w:pPr>
    </w:p>
    <w:p w14:paraId="35F07374" w14:textId="77777777" w:rsidR="0031534D" w:rsidRPr="00C60151" w:rsidRDefault="0031534D" w:rsidP="00C60151">
      <w:pPr>
        <w:spacing w:after="200" w:line="240" w:lineRule="auto"/>
        <w:rPr>
          <w:rFonts w:asciiTheme="majorHAnsi" w:hAnsiTheme="majorHAnsi"/>
        </w:rPr>
      </w:pPr>
    </w:p>
    <w:p w14:paraId="3A6F38F6" w14:textId="77777777" w:rsidR="005D54BA" w:rsidRPr="00A306A2" w:rsidRDefault="005D54BA" w:rsidP="001D334A">
      <w:pPr>
        <w:rPr>
          <w:rFonts w:asciiTheme="majorHAnsi" w:hAnsiTheme="majorHAnsi"/>
          <w:b/>
        </w:rPr>
      </w:pPr>
      <w:r w:rsidRPr="00A306A2">
        <w:rPr>
          <w:rFonts w:asciiTheme="majorHAnsi" w:hAnsiTheme="majorHAnsi"/>
          <w:b/>
        </w:rPr>
        <w:t>Source</w:t>
      </w:r>
    </w:p>
    <w:tbl>
      <w:tblPr>
        <w:tblStyle w:val="GridTable1Light-Accent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54BA" w:rsidRPr="00A306A2" w14:paraId="6765831F" w14:textId="77777777" w:rsidTr="007F6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A2128A3" w14:textId="47EB9588" w:rsidR="0036639D" w:rsidRDefault="005D54BA" w:rsidP="005D54BA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 w:val="0"/>
              </w:rPr>
            </w:pPr>
            <w:r w:rsidRPr="00A306A2">
              <w:rPr>
                <w:rFonts w:asciiTheme="majorHAnsi" w:hAnsiTheme="majorHAnsi"/>
                <w:b w:val="0"/>
              </w:rPr>
              <w:t xml:space="preserve">Australian Children’s </w:t>
            </w:r>
            <w:r w:rsidR="00FB4567" w:rsidRPr="00A306A2">
              <w:rPr>
                <w:rFonts w:asciiTheme="majorHAnsi" w:hAnsiTheme="majorHAnsi"/>
                <w:b w:val="0"/>
              </w:rPr>
              <w:t>Education &amp;</w:t>
            </w:r>
            <w:r w:rsidRPr="00A306A2">
              <w:rPr>
                <w:rFonts w:asciiTheme="majorHAnsi" w:hAnsiTheme="majorHAnsi"/>
                <w:b w:val="0"/>
              </w:rPr>
              <w:t xml:space="preserve"> Care Quality Authority. (2014). </w:t>
            </w:r>
          </w:p>
          <w:p w14:paraId="57E906D0" w14:textId="642FE8A0" w:rsidR="005D54BA" w:rsidRPr="00A306A2" w:rsidRDefault="005D54BA" w:rsidP="005D54BA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 w:val="0"/>
              </w:rPr>
            </w:pPr>
            <w:r w:rsidRPr="00A306A2">
              <w:rPr>
                <w:rFonts w:asciiTheme="majorHAnsi" w:hAnsiTheme="majorHAnsi"/>
                <w:b w:val="0"/>
              </w:rPr>
              <w:t>Guide to the Education and Care Services National Law and the Education and Care Ser</w:t>
            </w:r>
            <w:r w:rsidR="00876695">
              <w:rPr>
                <w:rFonts w:asciiTheme="majorHAnsi" w:hAnsiTheme="majorHAnsi"/>
                <w:b w:val="0"/>
              </w:rPr>
              <w:t>vices National Regulations 2015.</w:t>
            </w:r>
            <w:r w:rsidRPr="00A306A2">
              <w:rPr>
                <w:rFonts w:asciiTheme="majorHAnsi" w:hAnsiTheme="majorHAnsi"/>
                <w:b w:val="0"/>
              </w:rPr>
              <w:t xml:space="preserve"> </w:t>
            </w:r>
          </w:p>
          <w:p w14:paraId="21B7446A" w14:textId="77777777" w:rsidR="005D54BA" w:rsidRPr="00A306A2" w:rsidRDefault="005D54BA" w:rsidP="005D54BA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 w:val="0"/>
              </w:rPr>
            </w:pPr>
            <w:r w:rsidRPr="00A306A2">
              <w:rPr>
                <w:rFonts w:asciiTheme="majorHAnsi" w:hAnsiTheme="majorHAnsi"/>
                <w:b w:val="0"/>
              </w:rPr>
              <w:t>ECA Code of Ethics.</w:t>
            </w:r>
          </w:p>
          <w:p w14:paraId="648A08BF" w14:textId="77777777" w:rsidR="005D54BA" w:rsidRDefault="005D54BA" w:rsidP="008626D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 w:val="0"/>
              </w:rPr>
            </w:pPr>
            <w:r w:rsidRPr="00A306A2">
              <w:rPr>
                <w:rFonts w:asciiTheme="majorHAnsi" w:hAnsiTheme="majorHAnsi"/>
                <w:b w:val="0"/>
              </w:rPr>
              <w:t xml:space="preserve">Guide to the National Quality Standard. </w:t>
            </w:r>
          </w:p>
          <w:p w14:paraId="0592AF8E" w14:textId="1E7E7EE6" w:rsidR="0031534D" w:rsidRPr="008626DC" w:rsidRDefault="0031534D" w:rsidP="008626D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Revised National Quality Standards </w:t>
            </w:r>
          </w:p>
        </w:tc>
      </w:tr>
    </w:tbl>
    <w:p w14:paraId="709B1E04" w14:textId="77777777" w:rsidR="00CE4C65" w:rsidRPr="00A306A2" w:rsidRDefault="00CE4C65" w:rsidP="001D334A">
      <w:pPr>
        <w:rPr>
          <w:rFonts w:asciiTheme="majorHAnsi" w:hAnsiTheme="majorHAnsi"/>
          <w:color w:val="34ABC1"/>
        </w:rPr>
      </w:pPr>
    </w:p>
    <w:p w14:paraId="683A8366" w14:textId="77777777" w:rsidR="005D54BA" w:rsidRPr="00A306A2" w:rsidRDefault="005D54BA" w:rsidP="005D54BA">
      <w:pPr>
        <w:spacing w:line="240" w:lineRule="auto"/>
        <w:rPr>
          <w:rFonts w:asciiTheme="majorHAnsi" w:hAnsiTheme="majorHAnsi"/>
          <w:b/>
        </w:rPr>
      </w:pPr>
      <w:r w:rsidRPr="00A306A2">
        <w:rPr>
          <w:rFonts w:asciiTheme="majorHAnsi" w:hAnsiTheme="majorHAnsi"/>
          <w:b/>
        </w:rPr>
        <w:t>Review</w:t>
      </w:r>
    </w:p>
    <w:tbl>
      <w:tblPr>
        <w:tblStyle w:val="GridTable1Light-Accent31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409"/>
      </w:tblGrid>
      <w:tr w:rsidR="008626DC" w14:paraId="0AFE6E1D" w14:textId="77777777" w:rsidTr="00227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38DB2129" w14:textId="77777777" w:rsidR="008626DC" w:rsidRDefault="008626DC" w:rsidP="00227D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Reviewed </w:t>
            </w:r>
          </w:p>
        </w:tc>
        <w:tc>
          <w:tcPr>
            <w:tcW w:w="5245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4993E2A2" w14:textId="77777777" w:rsidR="008626DC" w:rsidRDefault="008626DC" w:rsidP="00227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Modifications </w:t>
            </w:r>
          </w:p>
        </w:tc>
        <w:tc>
          <w:tcPr>
            <w:tcW w:w="2409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496A384B" w14:textId="77777777" w:rsidR="008626DC" w:rsidRDefault="008626DC" w:rsidP="00227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Next Policy Review Date </w:t>
            </w:r>
          </w:p>
        </w:tc>
      </w:tr>
      <w:tr w:rsidR="008626DC" w14:paraId="2053E9DD" w14:textId="77777777" w:rsidTr="00227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5DD31258" w14:textId="22BFCAAF" w:rsidR="008626DC" w:rsidRPr="00C60151" w:rsidRDefault="008626DC" w:rsidP="008626DC">
            <w:pPr>
              <w:rPr>
                <w:rFonts w:asciiTheme="majorHAnsi" w:hAnsiTheme="majorHAnsi"/>
                <w:b w:val="0"/>
              </w:rPr>
            </w:pPr>
            <w:r w:rsidRPr="00C60151">
              <w:rPr>
                <w:rFonts w:asciiTheme="majorHAnsi" w:hAnsiTheme="majorHAnsi"/>
                <w:b w:val="0"/>
              </w:rPr>
              <w:t>October 2016</w:t>
            </w:r>
          </w:p>
        </w:tc>
        <w:tc>
          <w:tcPr>
            <w:tcW w:w="5245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09DB6DAD" w14:textId="77777777" w:rsidR="008626DC" w:rsidRDefault="008626DC" w:rsidP="00227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New Format created and policy created  </w:t>
            </w:r>
          </w:p>
          <w:p w14:paraId="0573A293" w14:textId="77777777" w:rsidR="00CE4C65" w:rsidRDefault="00CE4C65" w:rsidP="00227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09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40308465" w14:textId="77777777" w:rsidR="008626DC" w:rsidRDefault="008626DC" w:rsidP="00227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November 2017</w:t>
            </w:r>
          </w:p>
        </w:tc>
      </w:tr>
      <w:tr w:rsidR="008626DC" w14:paraId="11B785F7" w14:textId="77777777" w:rsidTr="00227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4E3F8E96" w14:textId="77777777" w:rsidR="008626DC" w:rsidRPr="00C60151" w:rsidRDefault="008626DC" w:rsidP="00227DC0">
            <w:pPr>
              <w:rPr>
                <w:rFonts w:asciiTheme="majorHAnsi" w:hAnsiTheme="majorHAnsi"/>
                <w:b w:val="0"/>
              </w:rPr>
            </w:pPr>
            <w:r w:rsidRPr="00C60151">
              <w:rPr>
                <w:rFonts w:asciiTheme="majorHAnsi" w:hAnsiTheme="majorHAnsi"/>
                <w:b w:val="0"/>
              </w:rPr>
              <w:t>August 2017</w:t>
            </w:r>
          </w:p>
        </w:tc>
        <w:tc>
          <w:tcPr>
            <w:tcW w:w="5245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774DFF62" w14:textId="0003B251" w:rsidR="008626DC" w:rsidRDefault="00BA1B23" w:rsidP="00BA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Minor changes made to improve operational understanding &amp; delivery</w:t>
            </w:r>
            <w:r w:rsidR="008626D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  <w:hideMark/>
          </w:tcPr>
          <w:p w14:paraId="064B4C37" w14:textId="77777777" w:rsidR="008626DC" w:rsidRDefault="008626DC" w:rsidP="00227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August 2018</w:t>
            </w:r>
          </w:p>
        </w:tc>
      </w:tr>
      <w:tr w:rsidR="0031534D" w14:paraId="642F6214" w14:textId="77777777" w:rsidTr="00227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</w:tcPr>
          <w:p w14:paraId="53B00B0B" w14:textId="699C09CA" w:rsidR="0031534D" w:rsidRPr="00670E91" w:rsidRDefault="00C60151" w:rsidP="00227DC0">
            <w:pPr>
              <w:rPr>
                <w:rFonts w:asciiTheme="majorHAnsi" w:hAnsiTheme="majorHAnsi"/>
                <w:b w:val="0"/>
              </w:rPr>
            </w:pPr>
            <w:r w:rsidRPr="00670E91">
              <w:rPr>
                <w:rFonts w:asciiTheme="majorHAnsi" w:hAnsiTheme="majorHAnsi"/>
                <w:b w:val="0"/>
              </w:rPr>
              <w:t>October</w:t>
            </w:r>
            <w:r w:rsidR="0031534D" w:rsidRPr="00670E91">
              <w:rPr>
                <w:rFonts w:asciiTheme="majorHAnsi" w:hAnsiTheme="majorHAnsi"/>
                <w:b w:val="0"/>
              </w:rPr>
              <w:t xml:space="preserve"> 2017</w:t>
            </w:r>
          </w:p>
        </w:tc>
        <w:tc>
          <w:tcPr>
            <w:tcW w:w="5245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</w:tcPr>
          <w:p w14:paraId="23A4788B" w14:textId="37283D5E" w:rsidR="0031534D" w:rsidRPr="00670E91" w:rsidRDefault="00C60151" w:rsidP="00BA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70E91">
              <w:rPr>
                <w:rFonts w:ascii="Calibri Light" w:hAnsi="Calibri Light"/>
              </w:rPr>
              <w:t>Updated references to comply with the revised National Quality Standard</w:t>
            </w:r>
          </w:p>
        </w:tc>
        <w:tc>
          <w:tcPr>
            <w:tcW w:w="2409" w:type="dxa"/>
            <w:tcBorders>
              <w:top w:val="single" w:sz="4" w:space="0" w:color="89C2E5" w:themeColor="accent3" w:themeTint="66"/>
              <w:left w:val="single" w:sz="4" w:space="0" w:color="89C2E5" w:themeColor="accent3" w:themeTint="66"/>
              <w:bottom w:val="single" w:sz="4" w:space="0" w:color="89C2E5" w:themeColor="accent3" w:themeTint="66"/>
              <w:right w:val="single" w:sz="4" w:space="0" w:color="89C2E5" w:themeColor="accent3" w:themeTint="66"/>
            </w:tcBorders>
          </w:tcPr>
          <w:p w14:paraId="77B13446" w14:textId="61F6FEDF" w:rsidR="0031534D" w:rsidRDefault="0031534D" w:rsidP="00227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70E91">
              <w:rPr>
                <w:rFonts w:asciiTheme="majorHAnsi" w:hAnsiTheme="majorHAnsi"/>
              </w:rPr>
              <w:t>August 2018</w:t>
            </w:r>
          </w:p>
        </w:tc>
      </w:tr>
    </w:tbl>
    <w:p w14:paraId="489B201C" w14:textId="77777777" w:rsidR="008626DC" w:rsidRDefault="008626DC" w:rsidP="008626DC">
      <w:pPr>
        <w:spacing w:after="0" w:line="360" w:lineRule="auto"/>
        <w:rPr>
          <w:rFonts w:asciiTheme="majorHAnsi" w:hAnsiTheme="majorHAnsi"/>
        </w:rPr>
      </w:pPr>
    </w:p>
    <w:p w14:paraId="022BA1AD" w14:textId="77777777" w:rsidR="008626DC" w:rsidRDefault="008626DC" w:rsidP="008626DC">
      <w:pPr>
        <w:rPr>
          <w:rFonts w:asciiTheme="majorHAnsi" w:hAnsiTheme="majorHAnsi" w:cs="Arial"/>
          <w:b/>
          <w:sz w:val="20"/>
          <w:szCs w:val="20"/>
        </w:rPr>
      </w:pPr>
    </w:p>
    <w:p w14:paraId="004A5CEE" w14:textId="77777777" w:rsidR="00295C6E" w:rsidRPr="00A306A2" w:rsidRDefault="00295C6E" w:rsidP="00767072">
      <w:pPr>
        <w:rPr>
          <w:rFonts w:asciiTheme="majorHAnsi" w:hAnsiTheme="majorHAnsi"/>
        </w:rPr>
      </w:pPr>
    </w:p>
    <w:sectPr w:rsidR="00295C6E" w:rsidRPr="00A306A2" w:rsidSect="00FB4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A46C" w14:textId="77777777" w:rsidR="00F10E8C" w:rsidRDefault="00F10E8C" w:rsidP="00CB647A">
      <w:pPr>
        <w:spacing w:after="0" w:line="240" w:lineRule="auto"/>
      </w:pPr>
      <w:r>
        <w:separator/>
      </w:r>
    </w:p>
  </w:endnote>
  <w:endnote w:type="continuationSeparator" w:id="0">
    <w:p w14:paraId="2950FE5E" w14:textId="77777777" w:rsidR="00F10E8C" w:rsidRDefault="00F10E8C" w:rsidP="00CB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798D" w14:textId="77777777" w:rsidR="00670E91" w:rsidRDefault="00670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12DC" w14:textId="66D1C15C" w:rsidR="00E76FBC" w:rsidRDefault="00670E91">
    <w:pPr>
      <w:pStyle w:val="Footer"/>
    </w:pPr>
    <w:r>
      <w:rPr>
        <w:noProof/>
      </w:rPr>
      <w:drawing>
        <wp:inline distT="0" distB="0" distL="0" distR="0" wp14:anchorId="2B6D6831" wp14:editId="1F42F585">
          <wp:extent cx="1195193" cy="5343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richo_road_medi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433" cy="556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bookmarkStart w:id="0" w:name="_GoBack"/>
    <w:bookmarkEnd w:id="0"/>
    <w:r w:rsidR="00E76FBC">
      <w:t>Open Door Policy</w:t>
    </w:r>
    <w:r>
      <w:t xml:space="preserve"> - </w:t>
    </w:r>
    <w:r w:rsidR="00E76FBC">
      <w:t xml:space="preserve"> QA6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A64F" w14:textId="77777777" w:rsidR="00670E91" w:rsidRDefault="00670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BC21E" w14:textId="77777777" w:rsidR="00F10E8C" w:rsidRDefault="00F10E8C" w:rsidP="00CB647A">
      <w:pPr>
        <w:spacing w:after="0" w:line="240" w:lineRule="auto"/>
      </w:pPr>
      <w:r>
        <w:separator/>
      </w:r>
    </w:p>
  </w:footnote>
  <w:footnote w:type="continuationSeparator" w:id="0">
    <w:p w14:paraId="3E4C820C" w14:textId="77777777" w:rsidR="00F10E8C" w:rsidRDefault="00F10E8C" w:rsidP="00CB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B21F" w14:textId="77777777" w:rsidR="00670E91" w:rsidRDefault="00670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876D" w14:textId="77777777" w:rsidR="00670E91" w:rsidRDefault="00670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EB1A" w14:textId="77777777" w:rsidR="00670E91" w:rsidRDefault="00670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D6B"/>
    <w:multiLevelType w:val="hybridMultilevel"/>
    <w:tmpl w:val="2EE0AC8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CC6374"/>
    <w:multiLevelType w:val="hybridMultilevel"/>
    <w:tmpl w:val="2682D2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3332"/>
    <w:multiLevelType w:val="hybridMultilevel"/>
    <w:tmpl w:val="703C217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9F3"/>
    <w:multiLevelType w:val="hybridMultilevel"/>
    <w:tmpl w:val="688AE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74B5"/>
    <w:multiLevelType w:val="multilevel"/>
    <w:tmpl w:val="34CE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5AE5BB8"/>
    <w:multiLevelType w:val="hybridMultilevel"/>
    <w:tmpl w:val="B3EC0C74"/>
    <w:lvl w:ilvl="0" w:tplc="93A23E44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235"/>
    <w:multiLevelType w:val="hybridMultilevel"/>
    <w:tmpl w:val="F6B6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0CA1"/>
    <w:multiLevelType w:val="hybridMultilevel"/>
    <w:tmpl w:val="6624CDDA"/>
    <w:lvl w:ilvl="0" w:tplc="5BA658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25A3"/>
    <w:multiLevelType w:val="hybridMultilevel"/>
    <w:tmpl w:val="122A26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950B2"/>
    <w:multiLevelType w:val="hybridMultilevel"/>
    <w:tmpl w:val="291A2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A10"/>
    <w:multiLevelType w:val="hybridMultilevel"/>
    <w:tmpl w:val="B7221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D1CFE"/>
    <w:multiLevelType w:val="hybridMultilevel"/>
    <w:tmpl w:val="8A880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75F5"/>
    <w:multiLevelType w:val="hybridMultilevel"/>
    <w:tmpl w:val="F9A2575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F20059"/>
    <w:multiLevelType w:val="hybridMultilevel"/>
    <w:tmpl w:val="08FAE11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A777B6"/>
    <w:multiLevelType w:val="hybridMultilevel"/>
    <w:tmpl w:val="CACE0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C2474"/>
    <w:multiLevelType w:val="hybridMultilevel"/>
    <w:tmpl w:val="69BE2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D5009"/>
    <w:multiLevelType w:val="hybridMultilevel"/>
    <w:tmpl w:val="0D34D956"/>
    <w:lvl w:ilvl="0" w:tplc="5BA658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31B2"/>
    <w:multiLevelType w:val="multilevel"/>
    <w:tmpl w:val="B5364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6C333D"/>
    <w:multiLevelType w:val="multilevel"/>
    <w:tmpl w:val="34CE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C681A"/>
    <w:multiLevelType w:val="hybridMultilevel"/>
    <w:tmpl w:val="C4FC86D8"/>
    <w:lvl w:ilvl="0" w:tplc="FA309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119AC"/>
    <w:multiLevelType w:val="hybridMultilevel"/>
    <w:tmpl w:val="18F25D1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9F7E26"/>
    <w:multiLevelType w:val="hybridMultilevel"/>
    <w:tmpl w:val="AD22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57EC4"/>
    <w:multiLevelType w:val="hybridMultilevel"/>
    <w:tmpl w:val="2FD69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F7508"/>
    <w:multiLevelType w:val="hybridMultilevel"/>
    <w:tmpl w:val="ECE83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16006"/>
    <w:multiLevelType w:val="hybridMultilevel"/>
    <w:tmpl w:val="27B6B38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A08F4"/>
    <w:multiLevelType w:val="hybridMultilevel"/>
    <w:tmpl w:val="A6F8E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50468"/>
    <w:multiLevelType w:val="hybridMultilevel"/>
    <w:tmpl w:val="86F62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64CEE"/>
    <w:multiLevelType w:val="hybridMultilevel"/>
    <w:tmpl w:val="1E46C456"/>
    <w:lvl w:ilvl="0" w:tplc="93A23E44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B5DD1"/>
    <w:multiLevelType w:val="hybridMultilevel"/>
    <w:tmpl w:val="7E4EF44A"/>
    <w:lvl w:ilvl="0" w:tplc="DFAEA6C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21010"/>
    <w:multiLevelType w:val="hybridMultilevel"/>
    <w:tmpl w:val="EB8E34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9479E"/>
    <w:multiLevelType w:val="hybridMultilevel"/>
    <w:tmpl w:val="86F4C9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D5C4A"/>
    <w:multiLevelType w:val="hybridMultilevel"/>
    <w:tmpl w:val="9E862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158A5"/>
    <w:multiLevelType w:val="hybridMultilevel"/>
    <w:tmpl w:val="15FA706C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9"/>
  </w:num>
  <w:num w:numId="15">
    <w:abstractNumId w:val="31"/>
  </w:num>
  <w:num w:numId="16">
    <w:abstractNumId w:val="21"/>
  </w:num>
  <w:num w:numId="17">
    <w:abstractNumId w:val="0"/>
  </w:num>
  <w:num w:numId="18">
    <w:abstractNumId w:val="13"/>
  </w:num>
  <w:num w:numId="19">
    <w:abstractNumId w:val="1"/>
  </w:num>
  <w:num w:numId="20">
    <w:abstractNumId w:val="33"/>
  </w:num>
  <w:num w:numId="21">
    <w:abstractNumId w:val="25"/>
  </w:num>
  <w:num w:numId="22">
    <w:abstractNumId w:val="24"/>
  </w:num>
  <w:num w:numId="23">
    <w:abstractNumId w:val="16"/>
  </w:num>
  <w:num w:numId="24">
    <w:abstractNumId w:val="23"/>
  </w:num>
  <w:num w:numId="25">
    <w:abstractNumId w:val="17"/>
  </w:num>
  <w:num w:numId="26">
    <w:abstractNumId w:val="30"/>
  </w:num>
  <w:num w:numId="27">
    <w:abstractNumId w:val="8"/>
  </w:num>
  <w:num w:numId="28">
    <w:abstractNumId w:val="26"/>
  </w:num>
  <w:num w:numId="29">
    <w:abstractNumId w:val="12"/>
  </w:num>
  <w:num w:numId="30">
    <w:abstractNumId w:val="10"/>
  </w:num>
  <w:num w:numId="31">
    <w:abstractNumId w:val="18"/>
  </w:num>
  <w:num w:numId="32">
    <w:abstractNumId w:val="15"/>
  </w:num>
  <w:num w:numId="33">
    <w:abstractNumId w:val="14"/>
  </w:num>
  <w:num w:numId="34">
    <w:abstractNumId w:val="20"/>
  </w:num>
  <w:num w:numId="35">
    <w:abstractNumId w:val="4"/>
  </w:num>
  <w:num w:numId="36">
    <w:abstractNumId w:val="22"/>
  </w:num>
  <w:num w:numId="37">
    <w:abstractNumId w:val="32"/>
  </w:num>
  <w:num w:numId="38">
    <w:abstractNumId w:val="6"/>
  </w:num>
  <w:num w:numId="39">
    <w:abstractNumId w:val="27"/>
  </w:num>
  <w:num w:numId="40">
    <w:abstractNumId w:val="7"/>
  </w:num>
  <w:num w:numId="41">
    <w:abstractNumId w:val="3"/>
  </w:num>
  <w:num w:numId="42">
    <w:abstractNumId w:val="28"/>
  </w:num>
  <w:num w:numId="43">
    <w:abstractNumId w:val="19"/>
  </w:num>
  <w:num w:numId="44">
    <w:abstractNumId w:val="1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47A"/>
    <w:rsid w:val="000146ED"/>
    <w:rsid w:val="00026752"/>
    <w:rsid w:val="000547FD"/>
    <w:rsid w:val="00094909"/>
    <w:rsid w:val="000E1198"/>
    <w:rsid w:val="00107D70"/>
    <w:rsid w:val="00133BA3"/>
    <w:rsid w:val="00135D1C"/>
    <w:rsid w:val="001A42E1"/>
    <w:rsid w:val="001C762E"/>
    <w:rsid w:val="001C7935"/>
    <w:rsid w:val="001D334A"/>
    <w:rsid w:val="001D6495"/>
    <w:rsid w:val="002558D2"/>
    <w:rsid w:val="00262623"/>
    <w:rsid w:val="00277401"/>
    <w:rsid w:val="00295C6E"/>
    <w:rsid w:val="00312F4D"/>
    <w:rsid w:val="0031534D"/>
    <w:rsid w:val="003319EC"/>
    <w:rsid w:val="0036639D"/>
    <w:rsid w:val="003A0C81"/>
    <w:rsid w:val="00401021"/>
    <w:rsid w:val="004369F7"/>
    <w:rsid w:val="004427CF"/>
    <w:rsid w:val="00473432"/>
    <w:rsid w:val="004A595B"/>
    <w:rsid w:val="004C4182"/>
    <w:rsid w:val="004E6172"/>
    <w:rsid w:val="00500F20"/>
    <w:rsid w:val="00532895"/>
    <w:rsid w:val="005422BE"/>
    <w:rsid w:val="005443FC"/>
    <w:rsid w:val="005A6A3A"/>
    <w:rsid w:val="005D3D57"/>
    <w:rsid w:val="005D54BA"/>
    <w:rsid w:val="00616527"/>
    <w:rsid w:val="00622F05"/>
    <w:rsid w:val="00670E91"/>
    <w:rsid w:val="006C5575"/>
    <w:rsid w:val="006C71E5"/>
    <w:rsid w:val="006D3155"/>
    <w:rsid w:val="006E0A7A"/>
    <w:rsid w:val="006E28FB"/>
    <w:rsid w:val="00707A19"/>
    <w:rsid w:val="00752E6E"/>
    <w:rsid w:val="00765E82"/>
    <w:rsid w:val="00767072"/>
    <w:rsid w:val="007E2990"/>
    <w:rsid w:val="007F2751"/>
    <w:rsid w:val="007F7F52"/>
    <w:rsid w:val="00805AE2"/>
    <w:rsid w:val="00822CDC"/>
    <w:rsid w:val="00846401"/>
    <w:rsid w:val="008626DC"/>
    <w:rsid w:val="00876436"/>
    <w:rsid w:val="00876695"/>
    <w:rsid w:val="00882EBB"/>
    <w:rsid w:val="008B1A58"/>
    <w:rsid w:val="008E1D6C"/>
    <w:rsid w:val="008E236C"/>
    <w:rsid w:val="008E340A"/>
    <w:rsid w:val="009045C3"/>
    <w:rsid w:val="00904AA6"/>
    <w:rsid w:val="00905E03"/>
    <w:rsid w:val="00943BCE"/>
    <w:rsid w:val="00971024"/>
    <w:rsid w:val="00971FBE"/>
    <w:rsid w:val="009A5C16"/>
    <w:rsid w:val="009B3FAE"/>
    <w:rsid w:val="00A138B3"/>
    <w:rsid w:val="00A16694"/>
    <w:rsid w:val="00A306A2"/>
    <w:rsid w:val="00A90508"/>
    <w:rsid w:val="00B11F97"/>
    <w:rsid w:val="00B14749"/>
    <w:rsid w:val="00B22CD8"/>
    <w:rsid w:val="00B54FC9"/>
    <w:rsid w:val="00BA1B23"/>
    <w:rsid w:val="00BC7143"/>
    <w:rsid w:val="00BC7C68"/>
    <w:rsid w:val="00C32815"/>
    <w:rsid w:val="00C60151"/>
    <w:rsid w:val="00C62835"/>
    <w:rsid w:val="00C666BF"/>
    <w:rsid w:val="00C737E0"/>
    <w:rsid w:val="00CB61DE"/>
    <w:rsid w:val="00CB647A"/>
    <w:rsid w:val="00CE4C65"/>
    <w:rsid w:val="00D024A3"/>
    <w:rsid w:val="00D106EF"/>
    <w:rsid w:val="00D1468A"/>
    <w:rsid w:val="00D64F92"/>
    <w:rsid w:val="00D7499D"/>
    <w:rsid w:val="00DE3AD4"/>
    <w:rsid w:val="00E247E9"/>
    <w:rsid w:val="00E76FBC"/>
    <w:rsid w:val="00EC3B39"/>
    <w:rsid w:val="00EC4B1A"/>
    <w:rsid w:val="00EE525C"/>
    <w:rsid w:val="00F0231A"/>
    <w:rsid w:val="00F10E8C"/>
    <w:rsid w:val="00F92053"/>
    <w:rsid w:val="00FB18E7"/>
    <w:rsid w:val="00FB4567"/>
    <w:rsid w:val="00FC52CE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65E94"/>
  <w15:docId w15:val="{92B78C23-2994-E440-8422-C2A5ABD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A"/>
  </w:style>
  <w:style w:type="paragraph" w:styleId="Footer">
    <w:name w:val="footer"/>
    <w:basedOn w:val="Normal"/>
    <w:link w:val="FooterChar"/>
    <w:uiPriority w:val="99"/>
    <w:unhideWhenUsed/>
    <w:rsid w:val="00CB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A"/>
  </w:style>
  <w:style w:type="table" w:styleId="TableGrid">
    <w:name w:val="Table Grid"/>
    <w:basedOn w:val="TableNormal"/>
    <w:uiPriority w:val="59"/>
    <w:rsid w:val="0040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31">
    <w:name w:val="List Table 7 Colorful - Accent 31"/>
    <w:basedOn w:val="TableNormal"/>
    <w:uiPriority w:val="52"/>
    <w:rsid w:val="00401021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401021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5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wne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38345-13A3-A44D-864D-E04BFC73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C:\Users\Owner\AppData\Roaming\Microsoft\Templates\Report design (blank).dotx</Template>
  <TotalTime>13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7</cp:revision>
  <dcterms:created xsi:type="dcterms:W3CDTF">2017-09-02T15:10:00Z</dcterms:created>
  <dcterms:modified xsi:type="dcterms:W3CDTF">2018-09-19T11:15:00Z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